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07766ADE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DC0572">
        <w:rPr>
          <w:rFonts w:ascii="Sylfaen" w:hAnsi="Sylfaen"/>
          <w:sz w:val="24"/>
        </w:rPr>
        <w:t>7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D339FD">
        <w:rPr>
          <w:rFonts w:ascii="Sylfaen" w:hAnsi="Sylfaen"/>
          <w:b/>
          <w:bCs/>
          <w:sz w:val="24"/>
          <w:u w:val="single"/>
        </w:rPr>
        <w:t xml:space="preserve">156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D339FD">
        <w:rPr>
          <w:rFonts w:ascii="Sylfaen" w:hAnsi="Sylfaen"/>
          <w:b/>
          <w:sz w:val="24"/>
          <w:u w:val="single"/>
        </w:rPr>
        <w:t>51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339FD">
        <w:rPr>
          <w:rFonts w:ascii="Sylfaen" w:hAnsi="Sylfaen"/>
          <w:b/>
          <w:sz w:val="24"/>
          <w:u w:val="single"/>
        </w:rPr>
        <w:t>120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D339FD">
        <w:rPr>
          <w:rFonts w:ascii="Sylfaen" w:hAnsi="Sylfaen"/>
          <w:b/>
          <w:sz w:val="24"/>
          <w:u w:val="single"/>
        </w:rPr>
        <w:t>24</w:t>
      </w:r>
      <w:r w:rsidR="00A16A3F">
        <w:rPr>
          <w:rFonts w:ascii="Sylfaen" w:hAnsi="Sylfaen"/>
          <w:b/>
          <w:sz w:val="24"/>
          <w:u w:val="single"/>
        </w:rPr>
        <w:t xml:space="preserve"> 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D339FD">
        <w:rPr>
          <w:rFonts w:ascii="Sylfaen" w:hAnsi="Sylfaen"/>
          <w:b/>
          <w:sz w:val="24"/>
          <w:lang w:val="ka-GE"/>
        </w:rPr>
        <w:t>33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D339FD">
        <w:rPr>
          <w:rFonts w:ascii="Sylfaen" w:hAnsi="Sylfaen"/>
          <w:b/>
          <w:bCs/>
          <w:sz w:val="24"/>
          <w:u w:val="single"/>
        </w:rPr>
        <w:t>384</w:t>
      </w:r>
    </w:p>
    <w:p w14:paraId="00395F9C" w14:textId="70E46758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ED0B04">
        <w:rPr>
          <w:rFonts w:ascii="Sylfaen" w:hAnsi="Sylfaen"/>
          <w:b/>
          <w:sz w:val="24"/>
          <w:u w:val="single"/>
        </w:rPr>
        <w:t>6 170</w:t>
      </w:r>
      <w:bookmarkStart w:id="0" w:name="_GoBack"/>
      <w:bookmarkEnd w:id="0"/>
      <w:r w:rsidR="00155C3B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654C3F3D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D339FD">
        <w:rPr>
          <w:rFonts w:ascii="Sylfaen" w:hAnsi="Sylfaen"/>
          <w:b/>
          <w:sz w:val="24"/>
          <w:u w:val="single"/>
        </w:rPr>
        <w:t>6 516</w:t>
      </w:r>
      <w:r w:rsidR="000B203E">
        <w:rPr>
          <w:rFonts w:ascii="Sylfaen" w:hAnsi="Sylfaen"/>
          <w:b/>
          <w:sz w:val="24"/>
          <w:u w:val="single"/>
        </w:rPr>
        <w:t xml:space="preserve">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6AF7A90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A4754">
        <w:rPr>
          <w:rFonts w:ascii="Sylfaen" w:hAnsi="Sylfaen"/>
          <w:b/>
          <w:sz w:val="24"/>
        </w:rPr>
        <w:t>370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12727478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0A4754">
        <w:rPr>
          <w:rFonts w:ascii="Sylfaen" w:hAnsi="Sylfaen"/>
          <w:sz w:val="24"/>
        </w:rPr>
        <w:t>34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0BB5BF72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0A4754">
        <w:rPr>
          <w:rFonts w:ascii="Sylfaen" w:hAnsi="Sylfaen"/>
          <w:sz w:val="24"/>
        </w:rPr>
        <w:t>76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4C3FB7">
      <w:pPr>
        <w:ind w:hanging="36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1D56D7A3">
            <wp:extent cx="7354956" cy="4261899"/>
            <wp:effectExtent l="0" t="0" r="1778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00FE5BCC" w:rsidR="00B93FB9" w:rsidRDefault="00D339F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3914636C" wp14:editId="6536409C">
            <wp:extent cx="6563995" cy="3593194"/>
            <wp:effectExtent l="0" t="0" r="8255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370" w:tblpY="50"/>
        <w:tblW w:w="11673" w:type="dxa"/>
        <w:tblLayout w:type="fixed"/>
        <w:tblLook w:val="04A0" w:firstRow="1" w:lastRow="0" w:firstColumn="1" w:lastColumn="0" w:noHBand="0" w:noVBand="1"/>
      </w:tblPr>
      <w:tblGrid>
        <w:gridCol w:w="625"/>
        <w:gridCol w:w="956"/>
        <w:gridCol w:w="1099"/>
        <w:gridCol w:w="1167"/>
        <w:gridCol w:w="1098"/>
        <w:gridCol w:w="1236"/>
        <w:gridCol w:w="1099"/>
        <w:gridCol w:w="1167"/>
        <w:gridCol w:w="1098"/>
        <w:gridCol w:w="1029"/>
        <w:gridCol w:w="1099"/>
      </w:tblGrid>
      <w:tr w:rsidR="00D339FD" w:rsidRPr="00D339FD" w14:paraId="75CD3B84" w14:textId="77777777" w:rsidTr="00D339FD">
        <w:trPr>
          <w:trHeight w:val="2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93B1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D339FD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C6F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C20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A85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9EE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B05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D339FD" w:rsidRPr="00D339FD" w14:paraId="114783B4" w14:textId="77777777" w:rsidTr="00D339FD">
        <w:trPr>
          <w:trHeight w:val="3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3A73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459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2C66765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6C23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4C2C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2111BC4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134D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847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38B7609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20DE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FAF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3B95974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835D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6267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D6C7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D339FD" w:rsidRPr="00D339FD" w14:paraId="603840B3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3BC5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FB4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102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E8D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E0B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A1E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F72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AA1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941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1EE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867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6445522C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0451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89D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E4F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5B6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547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143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7A4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8A8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02C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E4E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771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29E4BDEA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C7E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326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711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208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869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C9C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304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3B8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AB1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C93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AC8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60D61D19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920C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C09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E9E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21F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210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EB2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C4B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0F0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4CC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323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91B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176FD73F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3435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8CD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587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B6A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3A6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71A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3DF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9B1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206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52C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5E5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02239E13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42BC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FEA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92F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398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D503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ACE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8F4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789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7AD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E7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344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78B1E74D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E711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387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198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E92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2A9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4C2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72A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3B4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EF6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09B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BB8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7373FB7C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1F4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769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FCE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34C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E69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3EA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C31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815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1E2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A54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459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78D9084C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BC62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CAA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345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FF5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919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E1D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E81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9A0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49C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159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A06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3347DBDA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41FF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AD2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738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2C1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AE2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A7D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1B5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188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5AB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36F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475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2C773198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0EB6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581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8EB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698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4D9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62C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A29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525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C04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3FA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B80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69B7CD48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5A46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294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D6A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241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EC5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7DF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7DA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07D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097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C01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680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24596E0E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2816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A12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CBE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629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E167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BF3C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240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37F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02E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1BA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913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34518137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D3B9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225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58E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46D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BDC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ADE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EBA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429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47A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DA2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F18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45097114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E53C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08D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C67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E98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AF6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76E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70A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90B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166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D63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09E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59E5FE0F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F2C5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35A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0E9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C465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352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DB2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94BF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44B9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1ED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CE7B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1D8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34998E9C" w14:textId="77777777" w:rsidTr="00D339FD">
        <w:trPr>
          <w:trHeight w:val="2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6CA0" w14:textId="77777777" w:rsidR="00D339FD" w:rsidRPr="00D339FD" w:rsidRDefault="00D339FD" w:rsidP="00D339F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2B8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18D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FA89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CE0A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502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4E3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8034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497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C3D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E212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339FD" w:rsidRPr="00D339FD" w14:paraId="6988B5AA" w14:textId="77777777" w:rsidTr="00D339FD">
        <w:trPr>
          <w:trHeight w:val="2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C32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5A4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3314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5A31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F91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833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FF757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893E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1346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D1B0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0F53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729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BA72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7258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6606" w14:textId="77777777" w:rsidR="00D339FD" w:rsidRPr="00D339FD" w:rsidRDefault="00D339FD" w:rsidP="00D339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D339F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FF34470" w14:textId="6B0349B2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2954BD0" w14:textId="4C11C0F4" w:rsidR="00960117" w:rsidRDefault="00D339F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60243E69" wp14:editId="54CD4C0A">
            <wp:extent cx="6563995" cy="3372391"/>
            <wp:effectExtent l="0" t="0" r="825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B56ECD" w14:textId="5006BD5F" w:rsidR="00247CB5" w:rsidRDefault="00D339FD" w:rsidP="00155C3B">
      <w:pPr>
        <w:ind w:hanging="450"/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/>
          <w:bCs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66A23AB" wp14:editId="3509C2AA">
            <wp:simplePos x="0" y="0"/>
            <wp:positionH relativeFrom="page">
              <wp:posOffset>214630</wp:posOffset>
            </wp:positionH>
            <wp:positionV relativeFrom="paragraph">
              <wp:posOffset>335280</wp:posOffset>
            </wp:positionV>
            <wp:extent cx="7363460" cy="3132455"/>
            <wp:effectExtent l="0" t="0" r="8890" b="0"/>
            <wp:wrapTight wrapText="bothSides">
              <wp:wrapPolygon edited="0">
                <wp:start x="0" y="0"/>
                <wp:lineTo x="0" y="21412"/>
                <wp:lineTo x="21570" y="21412"/>
                <wp:lineTo x="215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460" cy="313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BC507" w14:textId="38989130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0933E824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DC0572">
        <w:rPr>
          <w:rFonts w:ascii="Sylfaen" w:hAnsi="Sylfaen"/>
          <w:bCs/>
          <w:sz w:val="24"/>
        </w:rPr>
        <w:t>7</w:t>
      </w:r>
      <w:r w:rsidR="00817BEF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0A4754">
        <w:rPr>
          <w:rFonts w:ascii="Sylfaen" w:hAnsi="Sylfaen"/>
          <w:b/>
          <w:bCs/>
          <w:sz w:val="24"/>
          <w:u w:val="single"/>
        </w:rPr>
        <w:t>2</w:t>
      </w:r>
      <w:r w:rsidR="005E6919">
        <w:rPr>
          <w:rFonts w:ascii="Sylfaen" w:hAnsi="Sylfaen"/>
          <w:b/>
          <w:bCs/>
          <w:sz w:val="24"/>
          <w:u w:val="single"/>
        </w:rPr>
        <w:t>6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440BDC3B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DC0572">
        <w:rPr>
          <w:rFonts w:ascii="Sylfaen" w:hAnsi="Sylfaen"/>
          <w:bCs/>
          <w:sz w:val="24"/>
        </w:rPr>
        <w:t>7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61D75">
        <w:rPr>
          <w:rFonts w:ascii="Sylfaen" w:hAnsi="Sylfaen"/>
          <w:b/>
          <w:bCs/>
          <w:sz w:val="24"/>
          <w:u w:val="single"/>
        </w:rPr>
        <w:t xml:space="preserve">82 </w:t>
      </w:r>
      <w:r w:rsidR="000A4754">
        <w:rPr>
          <w:rFonts w:ascii="Sylfaen" w:hAnsi="Sylfaen"/>
          <w:b/>
          <w:bCs/>
          <w:sz w:val="24"/>
          <w:u w:val="single"/>
        </w:rPr>
        <w:t>367</w:t>
      </w:r>
      <w:r w:rsidR="00F61D75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7F9DD9B5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</w:t>
      </w:r>
      <w:r w:rsidR="00DC0572">
        <w:rPr>
          <w:rFonts w:ascii="Sylfaen" w:hAnsi="Sylfaen"/>
          <w:bCs/>
          <w:sz w:val="24"/>
        </w:rPr>
        <w:t>7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0A4754">
        <w:rPr>
          <w:rFonts w:ascii="Sylfaen" w:hAnsi="Sylfaen"/>
          <w:b/>
          <w:bCs/>
          <w:sz w:val="24"/>
          <w:u w:val="single"/>
        </w:rPr>
        <w:t>3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0F0A9D9F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lastRenderedPageBreak/>
        <w:t xml:space="preserve">სულ შესაძლო შემთხვევების რაოდენობა </w:t>
      </w:r>
      <w:r w:rsidR="00463D20">
        <w:rPr>
          <w:rFonts w:ascii="Sylfaen" w:hAnsi="Sylfaen"/>
          <w:b/>
          <w:bCs/>
          <w:sz w:val="24"/>
          <w:u w:val="single"/>
        </w:rPr>
        <w:t>6</w:t>
      </w:r>
      <w:r w:rsidR="000A4754">
        <w:rPr>
          <w:rFonts w:ascii="Sylfaen" w:hAnsi="Sylfaen"/>
          <w:b/>
          <w:bCs/>
          <w:sz w:val="24"/>
          <w:u w:val="single"/>
        </w:rPr>
        <w:t>2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4DE56B14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DC0572">
        <w:rPr>
          <w:rFonts w:ascii="Sylfaen" w:hAnsi="Sylfaen"/>
          <w:bCs/>
          <w:sz w:val="24"/>
        </w:rPr>
        <w:t>7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463D20">
        <w:rPr>
          <w:rFonts w:ascii="Sylfaen" w:hAnsi="Sylfaen"/>
          <w:b/>
          <w:bCs/>
          <w:sz w:val="24"/>
          <w:u w:val="single"/>
        </w:rPr>
        <w:t>0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5E6919">
        <w:rPr>
          <w:rFonts w:ascii="Sylfaen" w:hAnsi="Sylfaen"/>
          <w:b/>
          <w:bCs/>
          <w:sz w:val="24"/>
          <w:u w:val="single"/>
        </w:rPr>
        <w:t>42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0A4754">
        <w:rPr>
          <w:rFonts w:ascii="Sylfaen" w:hAnsi="Sylfaen"/>
          <w:b/>
          <w:bCs/>
          <w:sz w:val="24"/>
          <w:u w:val="single"/>
        </w:rPr>
        <w:t>52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proofErr w:type="gramStart"/>
      <w:r w:rsidR="000A4754">
        <w:rPr>
          <w:rFonts w:ascii="Sylfaen" w:hAnsi="Sylfaen"/>
          <w:b/>
          <w:bCs/>
          <w:sz w:val="24"/>
          <w:u w:val="single"/>
        </w:rPr>
        <w:t xml:space="preserve">944 </w:t>
      </w:r>
      <w:r w:rsidR="00B51262">
        <w:rPr>
          <w:rFonts w:ascii="Sylfaen" w:hAnsi="Sylfaen"/>
          <w:b/>
          <w:bCs/>
          <w:sz w:val="24"/>
          <w:u w:val="single"/>
        </w:rPr>
        <w:t xml:space="preserve"> შემთხვევა</w:t>
      </w:r>
      <w:proofErr w:type="gramEnd"/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3F413069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0A4754">
        <w:rPr>
          <w:rFonts w:ascii="Sylfaen" w:hAnsi="Sylfaen"/>
          <w:bCs/>
          <w:sz w:val="24"/>
        </w:rPr>
        <w:t>549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0A4754">
        <w:rPr>
          <w:rFonts w:ascii="Sylfaen" w:hAnsi="Sylfaen"/>
          <w:bCs/>
          <w:sz w:val="24"/>
        </w:rPr>
        <w:t>15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56075BFE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</w:t>
      </w:r>
      <w:r w:rsidR="00DC0572">
        <w:rPr>
          <w:rFonts w:ascii="Sylfaen" w:hAnsi="Sylfaen"/>
          <w:sz w:val="24"/>
        </w:rPr>
        <w:t>6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DC0572">
        <w:rPr>
          <w:rFonts w:ascii="Sylfaen" w:hAnsi="Sylfaen"/>
          <w:b/>
          <w:sz w:val="24"/>
          <w:u w:val="single"/>
        </w:rPr>
        <w:t>81 419</w:t>
      </w:r>
    </w:p>
    <w:p w14:paraId="00AE23EC" w14:textId="4A982799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</w:t>
      </w:r>
      <w:r w:rsidR="00DC0572">
        <w:rPr>
          <w:rFonts w:ascii="Sylfaen" w:hAnsi="Sylfaen"/>
          <w:sz w:val="24"/>
        </w:rPr>
        <w:t>6</w:t>
      </w:r>
      <w:r w:rsidR="003102F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DC0572" w:rsidRPr="00DC0572">
        <w:rPr>
          <w:rFonts w:ascii="Sylfaen" w:hAnsi="Sylfaen"/>
          <w:b/>
          <w:bCs/>
          <w:sz w:val="24"/>
        </w:rPr>
        <w:t>2 029 930</w:t>
      </w:r>
      <w:r w:rsidR="00DC0572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b/>
          <w:bCs/>
          <w:sz w:val="24"/>
        </w:rPr>
        <w:t>136 320</w:t>
      </w:r>
      <w:r w:rsidR="00DC0572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22B17250" w14:textId="77777777" w:rsidR="00DC057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DC0572" w:rsidRPr="00DC0572">
        <w:rPr>
          <w:rFonts w:ascii="Sylfaen" w:hAnsi="Sylfaen"/>
          <w:sz w:val="24"/>
        </w:rPr>
        <w:t>17 243</w:t>
      </w:r>
      <w:r w:rsidR="00DC057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="00DC0572">
        <w:rPr>
          <w:rFonts w:ascii="Sylfaen" w:hAnsi="Sylfaen" w:cs="Sylfaen"/>
          <w:sz w:val="24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 w:cs="Sylfaen"/>
          <w:sz w:val="24"/>
          <w:lang w:val="ka-GE"/>
        </w:rPr>
        <w:t>სამხრეთ აფრიკა (2 506), ეგვიპტე (2 505), ალჟირი (2 160), მაროკო (2 024) და კამერუნი (855).</w:t>
      </w:r>
    </w:p>
    <w:p w14:paraId="5327622D" w14:textId="77777777" w:rsidR="00DC057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 w:cs="Sylfaen"/>
          <w:sz w:val="24"/>
        </w:rPr>
        <w:t>329 971</w:t>
      </w:r>
      <w:r w:rsidR="00DC0572">
        <w:rPr>
          <w:rFonts w:ascii="Sylfaen" w:hAnsi="Sylfaen" w:cs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DC0572" w:rsidRPr="00DC0572">
        <w:rPr>
          <w:rFonts w:ascii="Sylfaen" w:hAnsi="Sylfaen" w:cs="Sylfaen"/>
          <w:sz w:val="24"/>
          <w:lang w:val="ka-GE"/>
        </w:rPr>
        <w:t>ჩინეთი (83 402), ირანი (76 389), თურქეთი (69 392), ისრაელი (12 501) და ინდოეთი (12 380).</w:t>
      </w:r>
    </w:p>
    <w:p w14:paraId="7A619740" w14:textId="00554D35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sz w:val="24"/>
        </w:rPr>
        <w:t>748 256</w:t>
      </w:r>
      <w:r w:rsidR="0042188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DC0572" w:rsidRPr="00DC0572">
        <w:rPr>
          <w:rFonts w:ascii="Sylfaen" w:hAnsi="Sylfaen" w:cs="Sylfaen"/>
          <w:sz w:val="24"/>
          <w:lang w:val="ka-GE"/>
        </w:rPr>
        <w:t>შეერთებული შტატები (639 664), კანადა (28 364), ბრაზილია (28 320), პერუ (11 475) და ჩილე (8 273).</w:t>
      </w:r>
    </w:p>
    <w:p w14:paraId="5A620847" w14:textId="4189324D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sz w:val="24"/>
        </w:rPr>
        <w:t>925 536</w:t>
      </w:r>
      <w:r w:rsidR="00DC057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DC0572" w:rsidRPr="00DC0572">
        <w:rPr>
          <w:rFonts w:ascii="Sylfaen" w:hAnsi="Sylfaen" w:cs="Sylfaen"/>
          <w:sz w:val="24"/>
          <w:lang w:val="ka-GE"/>
        </w:rPr>
        <w:t>ესპანეთი (177 633), იტალია (165 155), გერმანია (130 450), საფრანგეთი (106 206) და გაერთიანებული სამეფო (98 476).</w:t>
      </w:r>
    </w:p>
    <w:p w14:paraId="06E3A527" w14:textId="45A73C66" w:rsidR="00DC0572" w:rsidRPr="00DC057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sz w:val="24"/>
        </w:rPr>
        <w:t> 7 781</w:t>
      </w:r>
      <w:r w:rsidR="00DC057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DC0572" w:rsidRPr="00DC0572">
        <w:rPr>
          <w:rFonts w:ascii="Sylfaen" w:hAnsi="Sylfaen" w:cs="Sylfaen"/>
          <w:sz w:val="24"/>
          <w:lang w:val="ka-GE"/>
        </w:rPr>
        <w:t>ავსტრალია (6 458), ახალი ზელანდია (1 084), გუამი (135), ფრანგული პოლინეზია (55) და ახალი კალედონია (18)</w:t>
      </w:r>
      <w:r w:rsidR="00DC0572">
        <w:rPr>
          <w:rFonts w:ascii="Sylfaen" w:hAnsi="Sylfaen" w:cs="Sylfaen"/>
          <w:sz w:val="24"/>
        </w:rPr>
        <w:t>.</w:t>
      </w:r>
    </w:p>
    <w:p w14:paraId="55B974C4" w14:textId="664379DF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5D79885A" w14:textId="77777777" w:rsidR="00960117" w:rsidRPr="00620F03" w:rsidRDefault="00960117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6D65A780" w14:textId="77777777" w:rsidR="00DC057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>
        <w:rPr>
          <w:rFonts w:ascii="Sylfaen" w:hAnsi="Sylfaen"/>
          <w:sz w:val="24"/>
        </w:rPr>
        <w:t>911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DC0572" w:rsidRPr="00DC0572">
        <w:rPr>
          <w:rFonts w:ascii="Sylfaen" w:hAnsi="Sylfaen" w:cs="Sylfaen"/>
          <w:sz w:val="24"/>
          <w:lang w:val="ka-GE"/>
        </w:rPr>
        <w:t>ალჟირი (336), ეგვიპტე (183), მაროკო (127), ტუნისი (35) და სამხრეთ აფრიკა (34).</w:t>
      </w:r>
    </w:p>
    <w:p w14:paraId="6B2526F9" w14:textId="77777777" w:rsidR="00DC057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აზია:</w:t>
      </w:r>
      <w:r w:rsidRPr="00620F03">
        <w:rPr>
          <w:rFonts w:ascii="Sylfaen" w:hAnsi="Sylfaen"/>
          <w:sz w:val="24"/>
          <w:lang w:val="ka-GE"/>
        </w:rPr>
        <w:t xml:space="preserve">  </w:t>
      </w:r>
      <w:r w:rsidR="00DC0572" w:rsidRPr="00DC0572">
        <w:rPr>
          <w:rFonts w:ascii="Sylfaen" w:hAnsi="Sylfaen"/>
          <w:sz w:val="24"/>
        </w:rPr>
        <w:t>11 993</w:t>
      </w:r>
      <w:r w:rsidR="00DC0572">
        <w:rPr>
          <w:rFonts w:ascii="Sylfaen" w:hAnsi="Sylfaen"/>
          <w:sz w:val="24"/>
        </w:rPr>
        <w:t xml:space="preserve"> </w:t>
      </w:r>
      <w:r w:rsidR="00D42D9C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C0572" w:rsidRPr="00DC0572">
        <w:rPr>
          <w:rFonts w:ascii="Sylfaen" w:hAnsi="Sylfaen" w:cs="Sylfaen"/>
          <w:sz w:val="24"/>
          <w:lang w:val="ka-GE"/>
        </w:rPr>
        <w:t>ირანი (4 777), ჩინეთი (3 346), თურქეთი (1 518), ინდონეზია (469) და ინდოეთი (414).</w:t>
      </w:r>
    </w:p>
    <w:p w14:paraId="6457AD66" w14:textId="7BB2AE85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 xml:space="preserve">ამერიკა: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sz w:val="24"/>
        </w:rPr>
        <w:t>35 688</w:t>
      </w:r>
      <w:r w:rsidR="00DC0572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C0572" w:rsidRPr="00DC0572">
        <w:rPr>
          <w:rFonts w:ascii="Sylfaen" w:hAnsi="Sylfaen" w:cs="Sylfaen"/>
          <w:sz w:val="24"/>
          <w:lang w:val="ka-GE"/>
        </w:rPr>
        <w:t>შეერთებული შტატები (30 985) *, ბრაზილია (1 736), კანადა (1 010), მექსიკა (449) და ეკვადორი (388).</w:t>
      </w:r>
    </w:p>
    <w:p w14:paraId="2A6050C0" w14:textId="1036BF02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sz w:val="24"/>
        </w:rPr>
        <w:t>87 629</w:t>
      </w:r>
      <w:r w:rsidR="003102F2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 w:cs="Sylfaen"/>
          <w:sz w:val="24"/>
          <w:lang w:val="ka-GE"/>
        </w:rPr>
        <w:t>იტალია (21 647), ესპანეთი (18 579), საფრანგეთი (17 167), გაერთიანებული სამეფო (12 868) და ბელგია (4 440).</w:t>
      </w:r>
    </w:p>
    <w:p w14:paraId="6FD5D604" w14:textId="24431968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</w:t>
      </w:r>
      <w:r w:rsidR="00DC0572">
        <w:rPr>
          <w:rFonts w:ascii="Sylfaen" w:hAnsi="Sylfaen"/>
          <w:sz w:val="24"/>
        </w:rPr>
        <w:t>79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ავსტრალია</w:t>
      </w:r>
      <w:r w:rsidR="00DC0572">
        <w:rPr>
          <w:rFonts w:ascii="Sylfaen" w:hAnsi="Sylfaen" w:cs="Sylfaen"/>
          <w:sz w:val="24"/>
          <w:lang w:val="ka-GE"/>
        </w:rPr>
        <w:t xml:space="preserve"> (63</w:t>
      </w:r>
      <w:r w:rsidR="00D42D9C" w:rsidRPr="00D42D9C">
        <w:rPr>
          <w:rFonts w:ascii="Sylfaen" w:hAnsi="Sylfaen" w:cs="Sylfaen"/>
          <w:sz w:val="24"/>
          <w:lang w:val="ka-GE"/>
        </w:rPr>
        <w:t>), ახალი ზელანდია (9), გუამი (5), ჩრდილოეთ მარიანას კუნძულები (2).</w:t>
      </w:r>
    </w:p>
    <w:p w14:paraId="6B5812FF" w14:textId="798043F2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B0AE3B1" w14:textId="77777777" w:rsidR="00BC1BC6" w:rsidRDefault="00BC1BC6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3631BBB0" w:rsidR="00070099" w:rsidRPr="00DA7131" w:rsidRDefault="00C14D18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17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7D0FCDAB" w:rsidR="00233A0F" w:rsidRPr="00233A0F" w:rsidRDefault="00463D20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2 </w:t>
      </w:r>
      <w:r w:rsidR="00CE1D48">
        <w:rPr>
          <w:rFonts w:ascii="Sylfaen" w:hAnsi="Sylfaen"/>
          <w:b/>
          <w:sz w:val="24"/>
          <w:u w:val="single"/>
        </w:rPr>
        <w:t>182 823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CE1D48">
        <w:rPr>
          <w:rFonts w:ascii="Sylfaen" w:hAnsi="Sylfaen"/>
          <w:b/>
          <w:sz w:val="24"/>
          <w:u w:val="single"/>
        </w:rPr>
        <w:t>547 679</w:t>
      </w:r>
      <w:r w:rsidR="004C3FB7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CE1D48">
        <w:rPr>
          <w:rFonts w:ascii="Sylfaen" w:hAnsi="Sylfaen"/>
          <w:b/>
          <w:sz w:val="24"/>
          <w:u w:val="single"/>
        </w:rPr>
        <w:t>145 551</w:t>
      </w:r>
      <w:r w:rsidR="00E118EB">
        <w:rPr>
          <w:rFonts w:ascii="Sylfaen" w:hAnsi="Sylfaen"/>
          <w:b/>
          <w:sz w:val="24"/>
          <w:u w:val="single"/>
        </w:rPr>
        <w:t xml:space="preserve"> </w:t>
      </w:r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3770"/>
        <w:gridCol w:w="2906"/>
        <w:gridCol w:w="2178"/>
        <w:gridCol w:w="2206"/>
      </w:tblGrid>
      <w:tr w:rsidR="000546A7" w:rsidRPr="000546A7" w14:paraId="2B6F61D8" w14:textId="77777777" w:rsidTr="00CE1D48">
        <w:trPr>
          <w:trHeight w:val="1697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0A6E590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DC1B9FA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546A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0546A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C087E9E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546A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0546A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CEE423A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0546A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546A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0546A7" w:rsidRPr="000546A7" w14:paraId="0BE73664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096CD7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A157FC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678144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B93D55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34641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72B71A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5.11</w:t>
            </w:r>
          </w:p>
        </w:tc>
      </w:tr>
      <w:tr w:rsidR="000546A7" w:rsidRPr="000546A7" w14:paraId="2312EF75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5AEB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2E0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184948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C7C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19315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41B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10.44</w:t>
            </w:r>
          </w:p>
        </w:tc>
      </w:tr>
      <w:tr w:rsidR="000546A7" w:rsidRPr="000546A7" w14:paraId="0199AFBF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791859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A7D4B1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168941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975347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22170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62C7D9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13.12</w:t>
            </w:r>
          </w:p>
        </w:tc>
      </w:tr>
      <w:tr w:rsidR="000546A7" w:rsidRPr="000546A7" w14:paraId="6ED737D2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2AD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4210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165027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7EC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17920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919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10.86</w:t>
            </w:r>
          </w:p>
        </w:tc>
      </w:tr>
      <w:tr w:rsidR="000546A7" w:rsidRPr="000546A7" w14:paraId="2185560A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8565C7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9E721E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137698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8C8ED0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4052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4F97F4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2.94</w:t>
            </w:r>
          </w:p>
        </w:tc>
      </w:tr>
      <w:tr w:rsidR="000546A7" w:rsidRPr="000546A7" w14:paraId="39A83E25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4C7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348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103093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EBCF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13729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71BD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13.32</w:t>
            </w:r>
          </w:p>
        </w:tc>
      </w:tr>
      <w:tr w:rsidR="000546A7" w:rsidRPr="000546A7" w14:paraId="661764B4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64ED28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EAD798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82367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5DC7AD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3342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C1E913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4.06</w:t>
            </w:r>
          </w:p>
        </w:tc>
      </w:tr>
      <w:tr w:rsidR="000546A7" w:rsidRPr="000546A7" w14:paraId="53A9CE96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2F53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4623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77995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565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4869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EDB9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6.24</w:t>
            </w:r>
          </w:p>
        </w:tc>
      </w:tr>
      <w:tr w:rsidR="000546A7" w:rsidRPr="000546A7" w14:paraId="481A67DB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673E6A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D22DE3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74193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37654F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1643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366DAD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2.21</w:t>
            </w:r>
          </w:p>
        </w:tc>
      </w:tr>
      <w:tr w:rsidR="000546A7" w:rsidRPr="000546A7" w14:paraId="093647BF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683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425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34809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023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4857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F09B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13.95</w:t>
            </w:r>
          </w:p>
        </w:tc>
      </w:tr>
      <w:tr w:rsidR="000546A7" w:rsidRPr="000546A7" w14:paraId="4D17F824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6B3146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4DF776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30683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1B4A13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1947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F5B46F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6.35</w:t>
            </w:r>
          </w:p>
        </w:tc>
      </w:tr>
      <w:tr w:rsidR="000546A7" w:rsidRPr="000546A7" w14:paraId="4B74F5F3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538C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კანადა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CDC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30106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D4E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1195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D10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3.97</w:t>
            </w:r>
          </w:p>
        </w:tc>
      </w:tr>
      <w:tr w:rsidR="000546A7" w:rsidRPr="000546A7" w14:paraId="51970AC4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0C3DEC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B06DFD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29214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7841EC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3315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85F1B8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11.35</w:t>
            </w:r>
          </w:p>
        </w:tc>
      </w:tr>
      <w:tr w:rsidR="000546A7" w:rsidRPr="000546A7" w14:paraId="6B240E0D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2D6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F938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27938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C24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AFE7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0.83</w:t>
            </w:r>
          </w:p>
        </w:tc>
      </w:tr>
      <w:tr w:rsidR="000546A7" w:rsidRPr="000546A7" w14:paraId="0FA882E6" w14:textId="77777777" w:rsidTr="00CE1D48">
        <w:trPr>
          <w:trHeight w:val="424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3C0075" w14:textId="77777777" w:rsidR="000546A7" w:rsidRPr="000546A7" w:rsidRDefault="000546A7" w:rsidP="00054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EA6C88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26732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528A0E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1281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86FD1A" w14:textId="77777777" w:rsidR="000546A7" w:rsidRPr="000546A7" w:rsidRDefault="000546A7" w:rsidP="00054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546A7">
              <w:rPr>
                <w:rFonts w:ascii="Calibri" w:eastAsia="Times New Roman" w:hAnsi="Calibri" w:cs="Calibri"/>
                <w:color w:val="000000"/>
                <w:lang w:val="ka-GE"/>
              </w:rPr>
              <w:t>4.79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08" w:type="dxa"/>
        <w:tblLook w:val="04A0" w:firstRow="1" w:lastRow="0" w:firstColumn="1" w:lastColumn="0" w:noHBand="0" w:noVBand="1"/>
      </w:tblPr>
      <w:tblGrid>
        <w:gridCol w:w="2627"/>
        <w:gridCol w:w="3434"/>
        <w:gridCol w:w="2479"/>
        <w:gridCol w:w="2568"/>
      </w:tblGrid>
      <w:tr w:rsidR="00CE1D48" w:rsidRPr="00CE1D48" w14:paraId="75D0586B" w14:textId="77777777" w:rsidTr="00CE1D48">
        <w:trPr>
          <w:trHeight w:val="150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6A85217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261EC02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CE1D4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CE1D4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1A7F6A6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CE1D4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CE1D4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3AE03AF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CE1D48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E1D48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CE1D48" w:rsidRPr="00CE1D48" w14:paraId="3B76B144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DCE6D9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90F4EA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1159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1085EF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EEDBE4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1.55</w:t>
            </w:r>
          </w:p>
        </w:tc>
      </w:tr>
      <w:tr w:rsidR="00CE1D48" w:rsidRPr="00CE1D48" w14:paraId="7D977A81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5B5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1FF3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1283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608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90E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1.17</w:t>
            </w:r>
          </w:p>
        </w:tc>
      </w:tr>
      <w:tr w:rsidR="00CE1D48" w:rsidRPr="00CE1D48" w14:paraId="4FED2FDC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43A0C6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7B93C9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4161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E16746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116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43DFCB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2.79</w:t>
            </w:r>
          </w:p>
        </w:tc>
      </w:tr>
      <w:tr w:rsidR="00CE1D48" w:rsidRPr="00CE1D48" w14:paraId="357810BF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ED7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C8BB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4204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39D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40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B64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0.95</w:t>
            </w:r>
          </w:p>
        </w:tc>
      </w:tr>
      <w:tr w:rsidR="00CE1D48" w:rsidRPr="00CE1D48" w14:paraId="2BBBB656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274BEC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988316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2154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E9C17A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54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B04108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2.51</w:t>
            </w:r>
          </w:p>
        </w:tc>
      </w:tr>
      <w:tr w:rsidR="00CE1D48" w:rsidRPr="00CE1D48" w14:paraId="0CAE471D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C055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5478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1402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6665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12A0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1.21</w:t>
            </w:r>
          </w:p>
        </w:tc>
      </w:tr>
      <w:tr w:rsidR="00CE1D48" w:rsidRPr="00CE1D48" w14:paraId="7AD6A034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EAE5DA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808629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1349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A77B94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3CCECF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0.30</w:t>
            </w:r>
          </w:p>
        </w:tc>
      </w:tr>
      <w:tr w:rsidR="00CE1D48" w:rsidRPr="00CE1D48" w14:paraId="3AD43F46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F643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161F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466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C6E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4148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1.07</w:t>
            </w:r>
          </w:p>
        </w:tc>
      </w:tr>
      <w:tr w:rsidR="00CE1D48" w:rsidRPr="00CE1D48" w14:paraId="7B463602" w14:textId="77777777" w:rsidTr="00CE1D48">
        <w:trPr>
          <w:trHeight w:val="37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8C2B48" w14:textId="77777777" w:rsidR="00CE1D48" w:rsidRPr="00CE1D48" w:rsidRDefault="00CE1D48" w:rsidP="00CE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65549A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840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6B8412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B65E22" w14:textId="77777777" w:rsidR="00CE1D48" w:rsidRPr="00CE1D48" w:rsidRDefault="00CE1D48" w:rsidP="00CE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E1D48">
              <w:rPr>
                <w:rFonts w:ascii="Calibri" w:eastAsia="Times New Roman" w:hAnsi="Calibri" w:cs="Calibri"/>
                <w:color w:val="000000"/>
                <w:lang w:val="ka-GE"/>
              </w:rPr>
              <w:t>3.57</w:t>
            </w:r>
          </w:p>
        </w:tc>
      </w:tr>
    </w:tbl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55C3B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77E6F"/>
    <w:rsid w:val="007A2170"/>
    <w:rsid w:val="007A765D"/>
    <w:rsid w:val="007C7884"/>
    <w:rsid w:val="007C7CFB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2A45"/>
    <w:rsid w:val="00B430C4"/>
    <w:rsid w:val="00B5126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0572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134436744399186E-2"/>
          <c:y val="0.11761296772897313"/>
          <c:w val="0.93291882708012852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Sheet1!$A$2:$A$52</c:f>
              <c:numCache>
                <c:formatCode>d\-mmm</c:formatCode>
                <c:ptCount val="51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</c:numCache>
            </c:numRef>
          </c:cat>
          <c:val>
            <c:numRef>
              <c:f>Sheet1!$B$2:$B$52</c:f>
              <c:numCache>
                <c:formatCode>General</c:formatCode>
                <c:ptCount val="5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23979848"/>
        <c:axId val="42398024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Sheet1!$A$2:$A$52</c:f>
              <c:numCache>
                <c:formatCode>d\-mmm</c:formatCode>
                <c:ptCount val="51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</c:numCache>
            </c:numRef>
          </c:cat>
          <c:val>
            <c:numRef>
              <c:f>Sheet1!$C$2:$C$52</c:f>
              <c:numCache>
                <c:formatCode>General</c:formatCode>
                <c:ptCount val="5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979848"/>
        <c:axId val="423980240"/>
      </c:lineChart>
      <c:dateAx>
        <c:axId val="423979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980240"/>
        <c:crosses val="autoZero"/>
        <c:auto val="1"/>
        <c:lblOffset val="100"/>
        <c:baseTimeUnit val="days"/>
      </c:dateAx>
      <c:valAx>
        <c:axId val="42398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979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1"/>
              <c:layout>
                <c:manualLayout>
                  <c:x val="0"/>
                  <c:y val="4.0047619047619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Sheet2!$A$2:$A$53</c:f>
              <c:strCache>
                <c:ptCount val="52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</c:strCache>
            </c:strRef>
          </c:cat>
          <c:val>
            <c:numRef>
              <c:f>Sheet2!$C$2:$C$53</c:f>
              <c:numCache>
                <c:formatCode>General</c:formatCode>
                <c:ptCount val="52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002856"/>
        <c:axId val="431004424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Sheet2!$A$2:$A$53</c:f>
              <c:strCache>
                <c:ptCount val="52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</c:strCache>
            </c:strRef>
          </c:cat>
          <c:val>
            <c:numRef>
              <c:f>Sheet2!$B$2:$B$53</c:f>
              <c:numCache>
                <c:formatCode>General</c:formatCode>
                <c:ptCount val="52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6170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004032"/>
        <c:axId val="431001680"/>
      </c:lineChart>
      <c:catAx>
        <c:axId val="43100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001680"/>
        <c:crosses val="autoZero"/>
        <c:auto val="0"/>
        <c:lblAlgn val="ctr"/>
        <c:lblOffset val="100"/>
        <c:noMultiLvlLbl val="0"/>
      </c:catAx>
      <c:valAx>
        <c:axId val="431001680"/>
        <c:scaling>
          <c:orientation val="minMax"/>
          <c:max val="6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004032"/>
        <c:crosses val="autoZero"/>
        <c:crossBetween val="between"/>
        <c:majorUnit val="500"/>
      </c:valAx>
      <c:valAx>
        <c:axId val="431004424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002856"/>
        <c:crosses val="max"/>
        <c:crossBetween val="between"/>
        <c:majorUnit val="50"/>
      </c:valAx>
      <c:catAx>
        <c:axId val="431002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31004424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5056057142417315"/>
          <c:y val="3.5671353580802437E-2"/>
          <c:w val="0.52112150204098384"/>
          <c:h val="8.13284589426321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17</a:t>
            </a:r>
            <a:r>
              <a:rPr lang="ka-GE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სენაკის საავადმყოფო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Sheet2!$E$66:$E$76</c:f>
              <c:numCache>
                <c:formatCode>General</c:formatCode>
                <c:ptCount val="11"/>
                <c:pt idx="0">
                  <c:v>4</c:v>
                </c:pt>
                <c:pt idx="1">
                  <c:v>20</c:v>
                </c:pt>
                <c:pt idx="2">
                  <c:v>10</c:v>
                </c:pt>
                <c:pt idx="3">
                  <c:v>15</c:v>
                </c:pt>
                <c:pt idx="4">
                  <c:v>17</c:v>
                </c:pt>
                <c:pt idx="5">
                  <c:v>23</c:v>
                </c:pt>
                <c:pt idx="6">
                  <c:v>10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104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სენაკის საავადმყოფო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Sheet2!$F$66:$F$76</c:f>
              <c:numCache>
                <c:formatCode>General</c:formatCode>
                <c:ptCount val="11"/>
                <c:pt idx="0">
                  <c:v>43</c:v>
                </c:pt>
                <c:pt idx="1">
                  <c:v>20</c:v>
                </c:pt>
                <c:pt idx="2">
                  <c:v>50</c:v>
                </c:pt>
                <c:pt idx="3">
                  <c:v>36</c:v>
                </c:pt>
                <c:pt idx="4">
                  <c:v>73</c:v>
                </c:pt>
                <c:pt idx="5">
                  <c:v>71</c:v>
                </c:pt>
                <c:pt idx="6">
                  <c:v>94</c:v>
                </c:pt>
                <c:pt idx="7">
                  <c:v>2</c:v>
                </c:pt>
                <c:pt idx="8">
                  <c:v>5</c:v>
                </c:pt>
                <c:pt idx="9">
                  <c:v>2</c:v>
                </c:pt>
                <c:pt idx="10">
                  <c:v>396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1004816"/>
        <c:axId val="431002072"/>
      </c:barChart>
      <c:catAx>
        <c:axId val="431004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002072"/>
        <c:crosses val="autoZero"/>
        <c:auto val="1"/>
        <c:lblAlgn val="ctr"/>
        <c:lblOffset val="100"/>
        <c:noMultiLvlLbl val="0"/>
      </c:catAx>
      <c:valAx>
        <c:axId val="431002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00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EBBC-55D4-4E02-A130-2C3863C4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38</cp:revision>
  <cp:lastPrinted>2020-03-13T13:34:00Z</cp:lastPrinted>
  <dcterms:created xsi:type="dcterms:W3CDTF">2020-04-16T19:59:00Z</dcterms:created>
  <dcterms:modified xsi:type="dcterms:W3CDTF">2020-04-17T05:18:00Z</dcterms:modified>
</cp:coreProperties>
</file>